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</w:t>
      </w:r>
      <w:r w:rsidR="00A3526F">
        <w:rPr>
          <w:rFonts w:ascii="Times New Roman" w:hAnsi="Times New Roman"/>
          <w:color w:val="000000"/>
          <w:sz w:val="28"/>
          <w:szCs w:val="28"/>
        </w:rPr>
        <w:t>Черноморский Строительный Союз</w:t>
      </w:r>
      <w:r w:rsidRPr="00327F68">
        <w:rPr>
          <w:rFonts w:ascii="Times New Roman" w:hAnsi="Times New Roman"/>
          <w:color w:val="000000"/>
          <w:sz w:val="28"/>
          <w:szCs w:val="28"/>
        </w:rPr>
        <w:t>»</w:t>
      </w:r>
    </w:p>
    <w:p w:rsidR="00327F68" w:rsidRPr="00327F68" w:rsidRDefault="00D87BE8" w:rsidP="00DD1888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A3526F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proofErr w:type="gramStart"/>
      <w:r w:rsidR="00A3526F">
        <w:rPr>
          <w:rFonts w:ascii="Times New Roman" w:hAnsi="Times New Roman"/>
          <w:color w:val="000000"/>
          <w:sz w:val="28"/>
          <w:szCs w:val="28"/>
        </w:rPr>
        <w:t>№</w:t>
      </w:r>
      <w:r w:rsidR="009F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14FF">
        <w:rPr>
          <w:rFonts w:ascii="Times New Roman" w:hAnsi="Times New Roman"/>
          <w:color w:val="000000"/>
          <w:sz w:val="28"/>
          <w:szCs w:val="28"/>
        </w:rPr>
        <w:t>769</w:t>
      </w:r>
      <w:proofErr w:type="gramEnd"/>
      <w:r w:rsidR="00155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8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5597">
        <w:rPr>
          <w:rFonts w:ascii="Times New Roman" w:hAnsi="Times New Roman"/>
          <w:color w:val="000000"/>
          <w:sz w:val="28"/>
          <w:szCs w:val="28"/>
        </w:rPr>
        <w:t>1</w:t>
      </w:r>
      <w:r w:rsidR="00F014FF">
        <w:rPr>
          <w:rFonts w:ascii="Times New Roman" w:hAnsi="Times New Roman"/>
          <w:color w:val="000000"/>
          <w:sz w:val="28"/>
          <w:szCs w:val="28"/>
        </w:rPr>
        <w:t>1</w:t>
      </w:r>
      <w:r w:rsidR="00155597">
        <w:rPr>
          <w:rFonts w:ascii="Times New Roman" w:hAnsi="Times New Roman"/>
          <w:color w:val="000000"/>
          <w:sz w:val="28"/>
          <w:szCs w:val="28"/>
        </w:rPr>
        <w:t xml:space="preserve"> мая </w:t>
      </w:r>
      <w:r w:rsidR="00E41CC4">
        <w:rPr>
          <w:rFonts w:ascii="Times New Roman" w:hAnsi="Times New Roman"/>
          <w:color w:val="000000"/>
          <w:sz w:val="28"/>
          <w:szCs w:val="28"/>
        </w:rPr>
        <w:t>202</w:t>
      </w:r>
      <w:r w:rsidR="00F014FF">
        <w:rPr>
          <w:rFonts w:ascii="Times New Roman" w:hAnsi="Times New Roman"/>
          <w:color w:val="000000"/>
          <w:sz w:val="28"/>
          <w:szCs w:val="28"/>
        </w:rPr>
        <w:t>3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A3526F" w:rsidRPr="00A3526F" w:rsidRDefault="00A3526F" w:rsidP="00A3526F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>Союза «</w:t>
      </w:r>
      <w:r w:rsidRPr="00A3526F">
        <w:rPr>
          <w:rFonts w:ascii="Times New Roman" w:hAnsi="Times New Roman"/>
          <w:b/>
          <w:color w:val="000000"/>
          <w:sz w:val="28"/>
          <w:szCs w:val="28"/>
        </w:rPr>
        <w:t>Черноморский</w:t>
      </w:r>
      <w:r w:rsidRPr="00A3526F">
        <w:rPr>
          <w:rFonts w:ascii="Times New Roman" w:hAnsi="Times New Roman"/>
          <w:b/>
          <w:color w:val="000000"/>
          <w:sz w:val="32"/>
          <w:szCs w:val="32"/>
        </w:rPr>
        <w:t xml:space="preserve"> Строительный Союз»</w:t>
      </w:r>
    </w:p>
    <w:p w:rsidR="00327F68" w:rsidRDefault="00327F68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членов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5625C" w:rsidRPr="00817EEE" w:rsidRDefault="00E41CC4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F014FF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:rsidR="00327F68" w:rsidRPr="00327F68" w:rsidRDefault="00AD2B8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F014FF">
        <w:rPr>
          <w:rFonts w:ascii="Times New Roman" w:hAnsi="Times New Roman"/>
          <w:color w:val="000000"/>
          <w:sz w:val="28"/>
          <w:szCs w:val="28"/>
        </w:rPr>
        <w:t>3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По состоянию на 01.01.2023 г. в Союзе состоит </w:t>
      </w:r>
      <w:proofErr w:type="gramStart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>1066  членов</w:t>
      </w:r>
      <w:proofErr w:type="gramEnd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.  На 01.01.2022 г. в Союзе состояло – 1057 </w:t>
      </w:r>
      <w:proofErr w:type="gramStart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>членов  (</w:t>
      </w:r>
      <w:proofErr w:type="gramEnd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динамика + 9 членов по сравнению с предыдущим отчетным периодом), в том числе, 197 индивидуальных предпринимателей, из них  право выполнение работ на  особо опасных, технически сложных и уникальных объектах имеют 127 членов, а на  объектах атомной энергии- 1 член Союза. </w:t>
      </w:r>
    </w:p>
    <w:p w:rsidR="00F014FF" w:rsidRPr="00F014FF" w:rsidRDefault="00F014FF" w:rsidP="00F014FF">
      <w:pPr>
        <w:spacing w:after="160" w:line="259" w:lineRule="auto"/>
        <w:jc w:val="both"/>
        <w:rPr>
          <w:rFonts w:ascii="Times New Roman" w:eastAsiaTheme="minorHAnsi" w:hAnsi="Times New Roman" w:cstheme="minorBidi"/>
          <w:iCs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      По уровням ответственности члены Союза «ЧСС» распределены следующим образом: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1 уровень (100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тыс.руб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.) – 917 организаций и ИП имеют право заключать договора строительного подряда, стоимость которых по одному договору не превышает 60 млн. руб.;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2 уровень (500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тыс.руб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.) – 106 организаций и ИП имеют право заключать договора строительного подряда, стоимость которых по одному договору не превышает 500 млн. руб.;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3 уровень (1,5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млн.руб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.) – 31 организаций и ИП имеют право заключать договора строительного подряда, стоимость которых по одному договору не превышает 300 млрд. руб.;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4 уровень (2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млн.руб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.) – 11 организаций имеет право заключать договора строительного подряда, стоимость которых по одному договору не превышает 10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млрд.руб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.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Право на заключение договоров строительного подряда с использованием конкурентных способов заключения договоров </w:t>
      </w:r>
      <w:proofErr w:type="gramStart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>имеют  332</w:t>
      </w:r>
      <w:proofErr w:type="gramEnd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 член, в том числе: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1 уровень (200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тыс.руб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.) – 257 организаций и ИП имеют право заключать договора строительного подряда, предельный размер обязательств по которым не превышает 60 млн. руб.;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2 уровень (2,5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млн.руб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.) – 44 организация и ИП имеют право заключать договора строительного подряда, предельный размер обязательств по которым не превышает 500 млн. руб.;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3 уровень (4,5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млн.руб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.) – 12 организаций имеют право заключать договора строительного подряда, предельный размер обязательств по которым не превышает 300 млрд. руб.;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4 уровень (7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млн.руб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.) – 5 организаций имеют право заключать договора строительного подряда, предельный размер обязательств по которым не превышает 2 млрд. руб.;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 xml:space="preserve">5 уровень (25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млн.руб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bidi="ru-RU"/>
        </w:rPr>
        <w:t>.) – 1 организация имеет право заключать договора строительного подряда, предельный размер обязательств по которым 10 млрд. руб. и более;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Вступило в члены Союза за отчетный период 120 организаций и индивидуальных предпринимателей, было </w:t>
      </w:r>
      <w:proofErr w:type="gramStart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>исключено  111</w:t>
      </w:r>
      <w:proofErr w:type="gramEnd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 членов Союза, в том числе, по добровольному заявлению – 63 членов, из них - 2 в связи со смертью.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Cs w:val="24"/>
          <w:lang w:eastAsia="en-US"/>
        </w:rPr>
        <w:t xml:space="preserve">В 2022 </w:t>
      </w:r>
      <w:proofErr w:type="gramStart"/>
      <w:r w:rsidRPr="00F014FF">
        <w:rPr>
          <w:rFonts w:ascii="Times New Roman" w:eastAsiaTheme="minorHAnsi" w:hAnsi="Times New Roman" w:cstheme="minorBidi"/>
          <w:szCs w:val="24"/>
          <w:lang w:eastAsia="en-US"/>
        </w:rPr>
        <w:t>году  Союз</w:t>
      </w:r>
      <w:proofErr w:type="gramEnd"/>
      <w:r w:rsidRPr="00F014FF">
        <w:rPr>
          <w:rFonts w:ascii="Times New Roman" w:eastAsiaTheme="minorHAnsi" w:hAnsi="Times New Roman" w:cstheme="minorBidi"/>
          <w:szCs w:val="24"/>
          <w:lang w:eastAsia="en-US"/>
        </w:rPr>
        <w:t>, в целях реализации уставной деятельности и приоритетных направлений деятельности произвел все необходимые мероприятия, предусмотренные законодательством  для деятельности саморегулируемой организации.</w:t>
      </w:r>
    </w:p>
    <w:p w:rsidR="00F014FF" w:rsidRPr="00F014FF" w:rsidRDefault="00F014FF" w:rsidP="00F014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4FF">
        <w:rPr>
          <w:rFonts w:ascii="Times New Roman" w:hAnsi="Times New Roman"/>
          <w:sz w:val="24"/>
          <w:szCs w:val="24"/>
        </w:rPr>
        <w:t>Компенсационные фонды Союза по состоянию на 31.12.2022 г.  сформированы в следующем размере: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Cs w:val="24"/>
          <w:lang w:eastAsia="en-US"/>
        </w:rPr>
        <w:t xml:space="preserve">- компенсационный фонд возмещения </w:t>
      </w:r>
      <w:proofErr w:type="gramStart"/>
      <w:r w:rsidRPr="00F014FF">
        <w:rPr>
          <w:rFonts w:ascii="Times New Roman" w:eastAsiaTheme="minorHAnsi" w:hAnsi="Times New Roman" w:cstheme="minorBidi"/>
          <w:szCs w:val="24"/>
          <w:lang w:eastAsia="en-US"/>
        </w:rPr>
        <w:t>вреда  -</w:t>
      </w:r>
      <w:proofErr w:type="gramEnd"/>
      <w:r w:rsidRPr="00F014FF">
        <w:rPr>
          <w:rFonts w:ascii="Times New Roman" w:eastAsiaTheme="minorHAnsi" w:hAnsi="Times New Roman" w:cstheme="minorBidi"/>
          <w:color w:val="000000"/>
          <w:szCs w:val="24"/>
        </w:rPr>
        <w:t>283 300 000, 00</w:t>
      </w:r>
      <w:r w:rsidRPr="00F014FF">
        <w:rPr>
          <w:rFonts w:ascii="Times New Roman" w:eastAsiaTheme="minorHAnsi" w:hAnsi="Times New Roman" w:cstheme="minorBidi"/>
          <w:szCs w:val="24"/>
          <w:lang w:eastAsia="en-US"/>
        </w:rPr>
        <w:t>руб.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Cs w:val="24"/>
          <w:lang w:eastAsia="en-US"/>
        </w:rPr>
        <w:t>- компенсационный фонд обеспечения договорных обязательств -349 393 347,02 руб.</w:t>
      </w:r>
    </w:p>
    <w:p w:rsidR="00F014FF" w:rsidRPr="00F014FF" w:rsidRDefault="00F014FF" w:rsidP="00F014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4FF">
        <w:rPr>
          <w:rFonts w:ascii="Times New Roman" w:hAnsi="Times New Roman"/>
          <w:sz w:val="24"/>
          <w:szCs w:val="24"/>
        </w:rPr>
        <w:t xml:space="preserve">Компенсационные фонды Союза по состоянию на 31.12.2022 г размещены на специальных банковских счетах, открытых </w:t>
      </w:r>
      <w:proofErr w:type="gramStart"/>
      <w:r w:rsidRPr="00F014FF">
        <w:rPr>
          <w:rFonts w:ascii="Times New Roman" w:hAnsi="Times New Roman"/>
          <w:sz w:val="24"/>
          <w:szCs w:val="24"/>
        </w:rPr>
        <w:t>в  АО</w:t>
      </w:r>
      <w:proofErr w:type="gramEnd"/>
      <w:r w:rsidRPr="00F014FF">
        <w:rPr>
          <w:rFonts w:ascii="Times New Roman" w:hAnsi="Times New Roman"/>
          <w:sz w:val="24"/>
          <w:szCs w:val="24"/>
        </w:rPr>
        <w:t xml:space="preserve"> «Альфа-Банк» и ПАО Банк «ФК Открытие» в  следующих размерах:</w:t>
      </w:r>
    </w:p>
    <w:p w:rsidR="00F014FF" w:rsidRPr="00F014FF" w:rsidRDefault="00F014FF" w:rsidP="00F014FF">
      <w:pPr>
        <w:spacing w:after="0" w:line="240" w:lineRule="auto"/>
        <w:ind w:firstLine="426"/>
        <w:rPr>
          <w:rFonts w:ascii="Times New Roman" w:hAnsi="Times New Roman" w:cstheme="minorBidi"/>
          <w:sz w:val="24"/>
          <w:szCs w:val="24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на специальном банковском счете возмещения вреда- </w:t>
      </w:r>
      <w:r w:rsidRPr="00F014FF">
        <w:rPr>
          <w:rFonts w:ascii="Times New Roman" w:hAnsi="Times New Roman" w:cstheme="minorBidi"/>
          <w:color w:val="000000"/>
          <w:sz w:val="24"/>
          <w:szCs w:val="24"/>
        </w:rPr>
        <w:t xml:space="preserve">291 946 586,45 </w:t>
      </w: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руб.</w:t>
      </w:r>
    </w:p>
    <w:p w:rsidR="00F014FF" w:rsidRPr="00F014FF" w:rsidRDefault="00F014FF" w:rsidP="00F014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4FF">
        <w:rPr>
          <w:rFonts w:ascii="Times New Roman" w:hAnsi="Times New Roman"/>
          <w:sz w:val="24"/>
          <w:szCs w:val="24"/>
        </w:rPr>
        <w:t>на специальных банковских счетах обеспечения договорных обязательств – 340 362 602,58 руб.</w:t>
      </w:r>
    </w:p>
    <w:p w:rsidR="00F014FF" w:rsidRPr="00F014FF" w:rsidRDefault="00F014FF" w:rsidP="00F014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4FF">
        <w:rPr>
          <w:rFonts w:ascii="Times New Roman" w:hAnsi="Times New Roman"/>
          <w:sz w:val="24"/>
          <w:szCs w:val="24"/>
        </w:rPr>
        <w:lastRenderedPageBreak/>
        <w:t>Из средств компенсационного фонда обеспечения договорных обязательств, в соответствии с частью 17 статьи 3</w:t>
      </w:r>
      <w:r w:rsidRPr="00F014FF">
        <w:rPr>
          <w:rFonts w:ascii="Times New Roman" w:hAnsi="Times New Roman"/>
          <w:sz w:val="24"/>
          <w:szCs w:val="24"/>
          <w:vertAlign w:val="superscript"/>
        </w:rPr>
        <w:t>3</w:t>
      </w:r>
      <w:r w:rsidRPr="00F014FF">
        <w:rPr>
          <w:rFonts w:ascii="Times New Roman" w:hAnsi="Times New Roman"/>
          <w:sz w:val="24"/>
          <w:szCs w:val="24"/>
        </w:rPr>
        <w:t xml:space="preserve"> Федерального закона № 191-ФЗ от 29.12.2004 «О введении в действие Градостроительного кодекса Российской Федерации»,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займам», Положением о компенсационном фонде обеспечения договорных обязательств Союза «Черноморский строительный союз,  на основании решения Внеочередного  Общего собрания членов Союза «ЧСС» от 17.08.2020 г. (Протокол № 18) и Решения Совета директоров от 24 сентября 2020 г.  (Протокол № 343) члену </w:t>
      </w:r>
      <w:proofErr w:type="gramStart"/>
      <w:r w:rsidRPr="00F014FF">
        <w:rPr>
          <w:rFonts w:ascii="Times New Roman" w:hAnsi="Times New Roman"/>
          <w:sz w:val="24"/>
          <w:szCs w:val="24"/>
        </w:rPr>
        <w:t>Союза  в</w:t>
      </w:r>
      <w:proofErr w:type="gramEnd"/>
      <w:r w:rsidRPr="00F014FF">
        <w:rPr>
          <w:rFonts w:ascii="Times New Roman" w:hAnsi="Times New Roman"/>
          <w:sz w:val="24"/>
          <w:szCs w:val="24"/>
        </w:rPr>
        <w:t xml:space="preserve"> сентябре 2020 года был предоставлен заем на сумму 17 800 000  руб.  сроком  до 15 мая 2021 года в целях приобретения строительных материалов, конструкций, оборудования для выполнения по заключённым </w:t>
      </w:r>
      <w:r w:rsidRPr="00F014FF">
        <w:rPr>
          <w:rFonts w:ascii="Times New Roman" w:hAnsi="Times New Roman"/>
          <w:sz w:val="24"/>
          <w:szCs w:val="24"/>
          <w:u w:val="single"/>
        </w:rPr>
        <w:t>до 1 апреля 2020 г</w:t>
      </w:r>
      <w:r w:rsidRPr="00F014FF">
        <w:rPr>
          <w:rFonts w:ascii="Times New Roman" w:hAnsi="Times New Roman"/>
          <w:sz w:val="24"/>
          <w:szCs w:val="24"/>
        </w:rPr>
        <w:t xml:space="preserve">.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 федеральным законом - «О контрактной системе в сфере закупок товаров, работ, услуг для обеспечения государственных и муниципальных нужд» (44-ФЗ) под процентную ставку 2,25 % годовых. В 2021 году </w:t>
      </w:r>
      <w:proofErr w:type="gramStart"/>
      <w:r w:rsidRPr="00F014FF">
        <w:rPr>
          <w:rFonts w:ascii="Times New Roman" w:hAnsi="Times New Roman"/>
          <w:sz w:val="24"/>
          <w:szCs w:val="24"/>
        </w:rPr>
        <w:t>срок  возврата</w:t>
      </w:r>
      <w:proofErr w:type="gramEnd"/>
      <w:r w:rsidRPr="00F014FF">
        <w:rPr>
          <w:rFonts w:ascii="Times New Roman" w:hAnsi="Times New Roman"/>
          <w:sz w:val="24"/>
          <w:szCs w:val="24"/>
        </w:rPr>
        <w:t xml:space="preserve"> по выданному займу из средств компенсационного фонда был продлен в связи с продлением срока  исполнения контракта до 05 декабря 2022 г.</w:t>
      </w:r>
    </w:p>
    <w:p w:rsidR="00F014FF" w:rsidRPr="00F014FF" w:rsidRDefault="00F014FF" w:rsidP="00F014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4FF">
        <w:rPr>
          <w:rFonts w:ascii="Times New Roman" w:hAnsi="Times New Roman"/>
          <w:sz w:val="24"/>
          <w:szCs w:val="24"/>
        </w:rPr>
        <w:t>Данная сумма займа не была возвращена членом Союза в указанные сроки, в результате чего Союз был вынужден обратиться в суд за взысканием денежных средств с должника, поручителя и обращением взыскания на заложенное в обеспечение данного обязательства имущество.</w:t>
      </w:r>
    </w:p>
    <w:p w:rsidR="00F014FF" w:rsidRPr="00F014FF" w:rsidRDefault="00F014FF" w:rsidP="00F014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4FF">
        <w:rPr>
          <w:rFonts w:ascii="Times New Roman" w:hAnsi="Times New Roman"/>
          <w:sz w:val="24"/>
          <w:szCs w:val="24"/>
        </w:rPr>
        <w:t>Выплат из средств компенсационных фондов за отчетный период, по основаниям, предусмотренным ст. ст. 60 и 61 Градостроительного кодекса РФ, - не производилось.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Cs w:val="24"/>
          <w:lang w:eastAsia="en-US"/>
        </w:rPr>
        <w:t>В целях  реализаций требований  ст. 55 Градостроительного кодекса РФ, части 17 статьи 3</w:t>
      </w:r>
      <w:r w:rsidRPr="00F014FF">
        <w:rPr>
          <w:rFonts w:ascii="Times New Roman" w:eastAsiaTheme="minorHAnsi" w:hAnsi="Times New Roman" w:cstheme="minorBidi"/>
          <w:szCs w:val="24"/>
          <w:vertAlign w:val="superscript"/>
          <w:lang w:eastAsia="en-US"/>
        </w:rPr>
        <w:t>3</w:t>
      </w:r>
      <w:r w:rsidRPr="00F014FF">
        <w:rPr>
          <w:rFonts w:ascii="Times New Roman" w:eastAsiaTheme="minorHAnsi" w:hAnsi="Times New Roman" w:cstheme="minorBidi"/>
          <w:szCs w:val="24"/>
          <w:lang w:eastAsia="en-US"/>
        </w:rPr>
        <w:t xml:space="preserve"> Федерального закона № 191-ФЗ от 29.12.2004 «О введении в действие Градостроительного кодекса Российской Федерации», постановления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связи с принятием </w:t>
      </w:r>
      <w:r w:rsidRPr="00F014FF">
        <w:rPr>
          <w:rFonts w:ascii="Times New Roman" w:eastAsiaTheme="minorHAnsi" w:hAnsi="Times New Roman" w:cstheme="minorBidi"/>
          <w:color w:val="000000"/>
          <w:szCs w:val="24"/>
          <w:lang w:eastAsia="en-US"/>
        </w:rPr>
        <w:t xml:space="preserve">Федерального   закона от 29.12.2020 N 468-ФЗ «О внесении изменений в </w:t>
      </w:r>
      <w:proofErr w:type="spellStart"/>
      <w:r w:rsidRPr="00F014FF">
        <w:rPr>
          <w:rFonts w:ascii="Times New Roman" w:eastAsiaTheme="minorHAnsi" w:hAnsi="Times New Roman" w:cstheme="minorBidi"/>
          <w:color w:val="000000"/>
          <w:szCs w:val="24"/>
          <w:lang w:eastAsia="en-US"/>
        </w:rPr>
        <w:t>ГрК</w:t>
      </w:r>
      <w:proofErr w:type="spellEnd"/>
      <w:r w:rsidRPr="00F014FF">
        <w:rPr>
          <w:rFonts w:ascii="Times New Roman" w:eastAsiaTheme="minorHAnsi" w:hAnsi="Times New Roman" w:cstheme="minorBidi"/>
          <w:color w:val="000000"/>
          <w:szCs w:val="24"/>
          <w:lang w:eastAsia="en-US"/>
        </w:rPr>
        <w:t xml:space="preserve"> РФ и отдельные НПА» и Постановления Правительства  РФ  № 423 от 20 марта 2021 « О внесении изменений в Положение об отдельных условиях предоставления займов членам СРО и порядке осуществления контроля за использованием средств, предоставленных по таким займам», которыми были</w:t>
      </w:r>
      <w:r w:rsidRPr="00F014FF">
        <w:rPr>
          <w:rFonts w:ascii="Times New Roman" w:eastAsiaTheme="minorHAnsi" w:hAnsi="Times New Roman" w:cstheme="minorBidi"/>
          <w:szCs w:val="24"/>
          <w:lang w:eastAsia="en-US"/>
        </w:rPr>
        <w:t xml:space="preserve"> </w:t>
      </w:r>
      <w:r w:rsidRPr="00F014FF">
        <w:rPr>
          <w:rFonts w:ascii="Times New Roman" w:eastAsiaTheme="minorHAnsi" w:hAnsi="Times New Roman" w:cstheme="minorBidi"/>
          <w:color w:val="000000"/>
          <w:szCs w:val="24"/>
          <w:lang w:eastAsia="en-US"/>
        </w:rPr>
        <w:t xml:space="preserve">продлены сроки  оказания поддержки членам СРО в виде  предоставления саморегулируемыми организациями займов своим членам за счет средств компенсационного фонда обеспечения договорных обязательств до 01 января 2022 г., а так же  были внесены изменения в порядок и условия предоставления таких займов, Союзом </w:t>
      </w:r>
      <w:r w:rsidRPr="00F014FF">
        <w:rPr>
          <w:rFonts w:ascii="Times New Roman" w:eastAsiaTheme="minorHAnsi" w:hAnsi="Times New Roman" w:cstheme="minorBidi"/>
          <w:szCs w:val="24"/>
          <w:lang w:eastAsia="en-US"/>
        </w:rPr>
        <w:t xml:space="preserve">было  переработано и приведено в соответствие с требованиями вышеназванных нормативно-правовых актов   Положение о компенсационном фонде обеспечения договорных  обязательств  Союза «Черноморский Строительный Союз». 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Cs w:val="24"/>
        </w:rPr>
      </w:pPr>
      <w:r w:rsidRPr="00F014FF">
        <w:rPr>
          <w:rFonts w:ascii="Times New Roman" w:eastAsiaTheme="minorHAnsi" w:hAnsi="Times New Roman" w:cstheme="minorBidi"/>
          <w:iCs/>
          <w:szCs w:val="24"/>
        </w:rPr>
        <w:t xml:space="preserve">Союз продолжал свою деятельность в качестве оператора Национального реестра специалистов. 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В 2022 поступило в </w:t>
      </w:r>
      <w:proofErr w:type="gramStart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>Союз  и</w:t>
      </w:r>
      <w:proofErr w:type="gramEnd"/>
      <w:r w:rsidRPr="00F014FF">
        <w:rPr>
          <w:rFonts w:ascii="Times New Roman" w:eastAsiaTheme="minorHAnsi" w:hAnsi="Times New Roman" w:cstheme="minorBidi"/>
          <w:iCs/>
          <w:szCs w:val="24"/>
          <w:lang w:eastAsia="en-US"/>
        </w:rPr>
        <w:t xml:space="preserve"> направлено в НОСТРОЙ 23 заявления с приложением документов, предусмотренных Регламентом НРС. Снижение количества поступивших заявлений связано с изменениями в законодательстве, в том числе в части необходимости прохождения независимой оценки квалификации претендентами на включение в НРС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>По состоянию на 31.12.2022 у членов Союза числился 2581 специалист,</w:t>
      </w: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включенный в НРС. </w:t>
      </w:r>
      <w:r w:rsidRPr="00F014F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 xml:space="preserve">На 31.12.2021 у </w:t>
      </w: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1057 членов Союза работали 2512 специалистов, включенных в НРС, что составляло 96,4% от минимально необходимого количества. При этом, 40 </w:t>
      </w: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lastRenderedPageBreak/>
        <w:t xml:space="preserve">специалистов дублировались </w:t>
      </w:r>
      <w:proofErr w:type="gramStart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со специалистами</w:t>
      </w:r>
      <w:proofErr w:type="gramEnd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заявленными в качестве таковых в иных СРО. После проведения в 2022 году ревизии на предмет надлежащего оформления специалистов у членов Союза </w:t>
      </w:r>
      <w:proofErr w:type="gramStart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обеспеченность  членов</w:t>
      </w:r>
      <w:proofErr w:type="gramEnd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Союза специалистами НРС составила 81,1 % от норматива.</w:t>
      </w:r>
    </w:p>
    <w:p w:rsidR="00F014FF" w:rsidRPr="00F014FF" w:rsidRDefault="00F014FF" w:rsidP="00F014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Причины отсутствия специалистов выяснялись в ходе проведения КПМ индивидуально в отношении каждого члена СРО и объясняются текучестью кадров в связи со снижением объемов работ. Отсутствие специалистов носит временный характер и не является характерным для всего года.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 xml:space="preserve">        10.12.2021 СД был утвержден план КПМ </w:t>
      </w:r>
      <w:proofErr w:type="gramStart"/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>на  2022</w:t>
      </w:r>
      <w:proofErr w:type="gramEnd"/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 xml:space="preserve"> год.</w:t>
      </w: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Периодичность проведения </w:t>
      </w:r>
      <w:r w:rsidRPr="00F014F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 xml:space="preserve">мероприятий по контролю определена </w:t>
      </w: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приказом Союза «ЧСС» от 19.11.2021 № 234. По результатам корректировки 21.01.2022 года из 1065 членов Союза включено в годовой план проверок 708 предприятий или 66,5 %. 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Из 708 запланированных на год КПМ проведено 665 проверок или 93,9 % годового плана. </w:t>
      </w:r>
    </w:p>
    <w:p w:rsidR="00F014FF" w:rsidRPr="00F014FF" w:rsidRDefault="00F014FF" w:rsidP="00F01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    В ходе реализации плана проверок в 2022 году исключено 16 членов Союза, выбыли – 27. В этот период перенесено 25 проверок, как правило, в связи с отсутствием руководителя на момент проведения проверки. План проверок в 2022 году выполнен в полном объеме. </w:t>
      </w:r>
    </w:p>
    <w:p w:rsidR="00F014FF" w:rsidRPr="00F014FF" w:rsidRDefault="00F014FF" w:rsidP="00F01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Для сравнения планом </w:t>
      </w:r>
      <w:proofErr w:type="gramStart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проверок  Союза</w:t>
      </w:r>
      <w:proofErr w:type="gramEnd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на 2021 год, исходя из их периодичности с учетом </w:t>
      </w:r>
      <w:r w:rsidRPr="00F014FF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 xml:space="preserve">применения риск-ориентированного подхода, </w:t>
      </w: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было предусмотрено проведение 793 проверок Охват плановыми контрольными мероприятиями составил 76,6% от общего числа членов Союза. Из 793 запланированных на год </w:t>
      </w:r>
      <w:proofErr w:type="gramStart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КПМ  в</w:t>
      </w:r>
      <w:proofErr w:type="gramEnd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2021 году было проведено 748 проверок или 94,3</w:t>
      </w:r>
      <w:r w:rsidRPr="00F014FF"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 </w:t>
      </w: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%  от запланированных КПМ (при этом, исключены из членов 42 организаций и ИП).</w:t>
      </w:r>
    </w:p>
    <w:p w:rsidR="00F014FF" w:rsidRPr="00F014FF" w:rsidRDefault="00F014FF" w:rsidP="00F0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         По состоянию на 31.12.2022 проведено 95 внеплановых проверок устранения недостатков, выявленных в ходе плановых контрольно-проверочных мероприятий.</w:t>
      </w:r>
    </w:p>
    <w:p w:rsidR="00F014FF" w:rsidRPr="00F014FF" w:rsidRDefault="00F014FF" w:rsidP="00F0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       В 2022 году учтены и рассмотрены уведомления о проверках членов Союза органами 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Госстройнадзора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(ГСН).</w:t>
      </w:r>
    </w:p>
    <w:p w:rsidR="00F014FF" w:rsidRPr="00F014FF" w:rsidRDefault="00F014FF" w:rsidP="00F0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      По материалам ГСН проведено 2 внеплановые проверки о соблюдении членами Союза внутренних документов, в отношении: ООО ТСК «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АртСтрой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» (ТО «Сочинское») и ООО ПКФ «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Стройсервис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» (ТО «Приазовское»). </w:t>
      </w:r>
    </w:p>
    <w:p w:rsidR="00F014FF" w:rsidRPr="00F014FF" w:rsidRDefault="00F014FF" w:rsidP="00F01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В ходе рассмотрения на заседании ДК материалов дел в отношении ООО ТСК «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АртСтрой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» и ООО ПКФ «</w:t>
      </w:r>
      <w:proofErr w:type="spellStart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Стройсервис</w:t>
      </w:r>
      <w:proofErr w:type="spellEnd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» установлено, что нарушения устранены и производство по делам прекращено. В департамент по надзору в строительной сфере Краснодарского края направлена соответствующая информация.</w:t>
      </w:r>
    </w:p>
    <w:p w:rsidR="00F014FF" w:rsidRPr="00F014FF" w:rsidRDefault="00F014FF" w:rsidP="00F0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   При этом, за отчетный период, так </w:t>
      </w:r>
      <w:proofErr w:type="gramStart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>же,  было</w:t>
      </w:r>
      <w:proofErr w:type="gramEnd"/>
      <w:r w:rsidRPr="00F014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проведено:</w:t>
      </w:r>
    </w:p>
    <w:p w:rsidR="00F014FF" w:rsidRPr="00F014FF" w:rsidRDefault="00F014FF" w:rsidP="00F014F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120 внеплановых проверок </w:t>
      </w:r>
      <w:proofErr w:type="gramStart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поступивших  пакетов</w:t>
      </w:r>
      <w:proofErr w:type="gramEnd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документов при вступлении в члены Союза;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- 3 внеплановые проверки, в части контроля за превышением уровня ответственности   по обязательствам строительного подряда, заключенным с использованием конкурентных способов заключения договоров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Внеплановые проверки по несчастным случаям, произошедшим на строительных площадках членов Союза, отсутствовали. </w:t>
      </w:r>
    </w:p>
    <w:p w:rsidR="00F014FF" w:rsidRPr="00F014FF" w:rsidRDefault="00F014FF" w:rsidP="00F014FF">
      <w:pPr>
        <w:spacing w:after="160" w:line="259" w:lineRule="auto"/>
        <w:jc w:val="both"/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color w:val="FF0000"/>
          <w:sz w:val="24"/>
          <w:szCs w:val="24"/>
          <w:lang w:eastAsia="en-US"/>
        </w:rPr>
        <w:t xml:space="preserve">  </w:t>
      </w: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По результатам внеплановых </w:t>
      </w:r>
      <w:proofErr w:type="gramStart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проверок  на</w:t>
      </w:r>
      <w:proofErr w:type="gramEnd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предмет превышения членами Союза совокупного размера обязательств по договорам строительного </w:t>
      </w:r>
      <w:r w:rsidRPr="00F014FF">
        <w:rPr>
          <w:rFonts w:ascii="Times New Roman" w:eastAsiaTheme="minorHAnsi" w:hAnsi="Times New Roman" w:cstheme="minorBidi"/>
          <w:iCs/>
          <w:spacing w:val="-1"/>
          <w:sz w:val="24"/>
          <w:szCs w:val="24"/>
          <w:lang w:eastAsia="en-US"/>
        </w:rPr>
        <w:t xml:space="preserve">подряда, </w:t>
      </w: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исходя из которых таким членом был уплачен взнос в компенсационный фонд обеспечения договорных обязательств в 2022 году было  выявлено 3 нарушения</w:t>
      </w:r>
      <w:r w:rsidRPr="00F014FF">
        <w:rPr>
          <w:rFonts w:ascii="Times New Roman" w:eastAsiaTheme="minorHAnsi" w:hAnsi="Times New Roman" w:cstheme="minorBidi"/>
          <w:iCs/>
          <w:color w:val="000000"/>
          <w:sz w:val="24"/>
          <w:szCs w:val="24"/>
          <w:lang w:eastAsia="en-US"/>
        </w:rPr>
        <w:t>. Нарушения устранены.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   </w:t>
      </w:r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 xml:space="preserve">   </w:t>
      </w:r>
      <w:r w:rsidRPr="00F014FF">
        <w:rPr>
          <w:rFonts w:ascii="Times New Roman" w:hAnsi="Times New Roman" w:cstheme="minorBidi"/>
          <w:bCs/>
          <w:iCs/>
          <w:sz w:val="24"/>
          <w:szCs w:val="24"/>
        </w:rPr>
        <w:t xml:space="preserve">09.12.2022 Советом Директоров Союза утвержден план контрольно-проверочных мероприятий </w:t>
      </w:r>
      <w:proofErr w:type="gramStart"/>
      <w:r w:rsidRPr="00F014FF">
        <w:rPr>
          <w:rFonts w:ascii="Times New Roman" w:hAnsi="Times New Roman" w:cstheme="minorBidi"/>
          <w:bCs/>
          <w:iCs/>
          <w:sz w:val="24"/>
          <w:szCs w:val="24"/>
        </w:rPr>
        <w:t>на  2023</w:t>
      </w:r>
      <w:proofErr w:type="gramEnd"/>
      <w:r w:rsidRPr="00F014FF">
        <w:rPr>
          <w:rFonts w:ascii="Times New Roman" w:hAnsi="Times New Roman" w:cstheme="minorBidi"/>
          <w:bCs/>
          <w:iCs/>
          <w:sz w:val="24"/>
          <w:szCs w:val="24"/>
        </w:rPr>
        <w:t xml:space="preserve"> год.</w:t>
      </w: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</w:t>
      </w:r>
    </w:p>
    <w:p w:rsidR="00F014FF" w:rsidRPr="00F014FF" w:rsidRDefault="00F014FF" w:rsidP="00F014FF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lastRenderedPageBreak/>
        <w:t>Периодичность проведения мероприятий по контролю определена приказом директора Союза «ЧСС» от 24.10.2022 № 19.</w:t>
      </w:r>
    </w:p>
    <w:p w:rsidR="00F014FF" w:rsidRPr="00F014FF" w:rsidRDefault="00F014FF" w:rsidP="00F014FF">
      <w:pPr>
        <w:spacing w:after="0" w:line="240" w:lineRule="auto"/>
        <w:ind w:firstLine="567"/>
        <w:jc w:val="both"/>
        <w:rPr>
          <w:rFonts w:ascii="Times New Roman" w:hAnsi="Times New Roman" w:cstheme="minorBidi"/>
          <w:bCs/>
          <w:iCs/>
          <w:color w:val="000000"/>
          <w:sz w:val="24"/>
          <w:szCs w:val="24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В проект плана</w:t>
      </w:r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 xml:space="preserve"> контрольно-проверочных мероприятий </w:t>
      </w:r>
      <w:proofErr w:type="gramStart"/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>на  2023</w:t>
      </w:r>
      <w:proofErr w:type="gramEnd"/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 xml:space="preserve"> год включено 684 предприятия или 64,2 % численности членов Союза.</w:t>
      </w:r>
    </w:p>
    <w:p w:rsidR="00F014FF" w:rsidRPr="00F014FF" w:rsidRDefault="00F014FF" w:rsidP="00F014FF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 xml:space="preserve"> По результатам корректировка планов проверок на 2023 год Советом директоров 20.01.2023 утверждены проверки </w:t>
      </w:r>
      <w:proofErr w:type="gramStart"/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>на  2023</w:t>
      </w:r>
      <w:proofErr w:type="gramEnd"/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 xml:space="preserve"> год 688 членов Союза.</w:t>
      </w:r>
    </w:p>
    <w:p w:rsidR="00F014FF" w:rsidRPr="00F014FF" w:rsidRDefault="00F014FF" w:rsidP="00F014FF">
      <w:pPr>
        <w:spacing w:after="0" w:line="240" w:lineRule="auto"/>
        <w:ind w:firstLine="567"/>
        <w:jc w:val="both"/>
        <w:rPr>
          <w:rFonts w:ascii="Times New Roman" w:hAnsi="Times New Roman" w:cstheme="minorBidi"/>
          <w:bCs/>
          <w:iCs/>
          <w:color w:val="000000"/>
          <w:sz w:val="24"/>
          <w:szCs w:val="24"/>
        </w:rPr>
      </w:pPr>
      <w:r w:rsidRPr="00F014FF">
        <w:rPr>
          <w:rFonts w:ascii="Times New Roman" w:hAnsi="Times New Roman" w:cstheme="minorBidi"/>
          <w:bCs/>
          <w:iCs/>
          <w:color w:val="000000"/>
          <w:sz w:val="24"/>
          <w:szCs w:val="24"/>
        </w:rPr>
        <w:t xml:space="preserve">В план проверок включены все члены Союза, выполняющие работы по договорам подряда, заключенным по результатам конкурентных процедур.  </w:t>
      </w:r>
      <w:r w:rsidRPr="00F014FF">
        <w:rPr>
          <w:rFonts w:ascii="Times New Roman" w:eastAsiaTheme="minorHAnsi" w:hAnsi="Times New Roman" w:cstheme="minorBidi"/>
          <w:iCs/>
          <w:color w:val="000000"/>
          <w:sz w:val="24"/>
          <w:szCs w:val="24"/>
        </w:rPr>
        <w:t xml:space="preserve"> 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По итогам контрольно-проверочных мероприятий в 2022 году было проведено 55 заседаний Дисциплинарного комитета, на которых </w:t>
      </w:r>
      <w:proofErr w:type="gramStart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было  рассмотрено</w:t>
      </w:r>
      <w:proofErr w:type="gramEnd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177 дисциплинарных производств, по результатам которых было:</w:t>
      </w:r>
    </w:p>
    <w:p w:rsidR="00F014FF" w:rsidRPr="00F014FF" w:rsidRDefault="00F014FF" w:rsidP="00F014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выдано </w:t>
      </w:r>
      <w:proofErr w:type="gramStart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80  предписаний</w:t>
      </w:r>
      <w:proofErr w:type="gramEnd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об устранении выявленных при проверках нарушений); </w:t>
      </w:r>
    </w:p>
    <w:p w:rsidR="00F014FF" w:rsidRPr="00F014FF" w:rsidRDefault="00F014FF" w:rsidP="00F014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приостановлено право осуществлять деятельность – 43 членам Союза 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- рекомендовано для рассмотрения Советом </w:t>
      </w:r>
      <w:proofErr w:type="gramStart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директоров  вопроса</w:t>
      </w:r>
      <w:proofErr w:type="gramEnd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об исключении из членов Союза 53 организации и ИП.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За этот период на заседаниях Дисциплинарного комитета снято взысканий – 65. </w:t>
      </w:r>
    </w:p>
    <w:p w:rsidR="00F014FF" w:rsidRPr="00F014FF" w:rsidRDefault="00F014FF" w:rsidP="00F014FF">
      <w:pPr>
        <w:spacing w:after="160" w:line="259" w:lineRule="auto"/>
        <w:ind w:firstLine="567"/>
        <w:jc w:val="both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Советом </w:t>
      </w:r>
      <w:proofErr w:type="gramStart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директоров  по</w:t>
      </w:r>
      <w:proofErr w:type="gramEnd"/>
      <w:r w:rsidRPr="00F014FF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 рекомендациям Дисциплинарного комитета вынесено решение об исключении 48 членов Союза, а в 56 случаях перенесены сроки исполнения требований об устранении нарушений.</w:t>
      </w:r>
    </w:p>
    <w:p w:rsidR="00F014FF" w:rsidRPr="00F014FF" w:rsidRDefault="00F014FF" w:rsidP="00F014F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F014FF">
        <w:rPr>
          <w:rFonts w:ascii="Times New Roman" w:hAnsi="Times New Roman"/>
          <w:sz w:val="24"/>
          <w:szCs w:val="24"/>
          <w:lang w:eastAsia="en-US" w:bidi="en-US"/>
        </w:rPr>
        <w:t xml:space="preserve">В 2022 году было проведено одно плановое Общее годовое собрание, </w:t>
      </w:r>
      <w:r w:rsidRPr="00F014FF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где были, в том числе, рассмотрены вопросы </w:t>
      </w:r>
      <w:proofErr w:type="gramStart"/>
      <w:r w:rsidRPr="00F014FF">
        <w:rPr>
          <w:rFonts w:ascii="Times New Roman" w:eastAsia="MS Mincho" w:hAnsi="Times New Roman"/>
          <w:sz w:val="24"/>
          <w:szCs w:val="24"/>
          <w:lang w:eastAsia="en-US" w:bidi="en-US"/>
        </w:rPr>
        <w:t>утверждения  годовой</w:t>
      </w:r>
      <w:proofErr w:type="gramEnd"/>
      <w:r w:rsidRPr="00F014FF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бухгалтерской отчетности, отчета директора и Совета директоров, внесены изменения во внутренние документы Союза.</w:t>
      </w:r>
      <w:r w:rsidRPr="00F014FF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 xml:space="preserve"> </w:t>
      </w:r>
    </w:p>
    <w:p w:rsidR="00F014FF" w:rsidRPr="00F014FF" w:rsidRDefault="00F014FF" w:rsidP="00F014F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Все решения и документы были направлены в Ростехнадзор РФ и по ним были получены положительные решения о включении сведений в государственный </w:t>
      </w:r>
      <w:proofErr w:type="gram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реестр  СРО</w:t>
      </w:r>
      <w:proofErr w:type="gramEnd"/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В 2022 году в отношении Союза </w:t>
      </w:r>
      <w:proofErr w:type="spell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Ростехнадзором</w:t>
      </w:r>
      <w:proofErr w:type="spellEnd"/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РФ была проведена внеплановая проверка деятельности, в результате которой были выявлены нарушения в деятельности Союза.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Союзом вынесенный </w:t>
      </w:r>
      <w:proofErr w:type="spell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Ростехнадзором</w:t>
      </w:r>
      <w:proofErr w:type="spellEnd"/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РФ акт проверки был обжалован в судебном порядке и признан судом незаконным, решение суда устояло во всех вышестоящих инстанциях. 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Союз продолжал </w:t>
      </w:r>
      <w:proofErr w:type="gram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работу  по</w:t>
      </w:r>
      <w:proofErr w:type="gramEnd"/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взаимодействию с органами власти края и Национальным объединением строителей, иными некоммерческими социально значимыми организациями.  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Союз с момента получения статуса саморегулируемый организации в силу прямого указания </w:t>
      </w:r>
      <w:proofErr w:type="gram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закона  является</w:t>
      </w:r>
      <w:proofErr w:type="gramEnd"/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членом  Национального объединения строителей и принимает участие  в работе его органов.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hAnsi="Times New Roman" w:cstheme="minorBidi"/>
          <w:sz w:val="24"/>
          <w:szCs w:val="24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Союз принимал участие в работе Х</w:t>
      </w:r>
      <w:r w:rsidRPr="00F014FF">
        <w:rPr>
          <w:rFonts w:ascii="Times New Roman" w:eastAsiaTheme="minorHAnsi" w:hAnsi="Times New Roman" w:cstheme="minorBidi"/>
          <w:sz w:val="24"/>
          <w:szCs w:val="24"/>
          <w:lang w:val="en-US" w:eastAsia="en-US"/>
        </w:rPr>
        <w:t>XI</w:t>
      </w: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</w:t>
      </w:r>
      <w:proofErr w:type="spellStart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го</w:t>
      </w:r>
      <w:proofErr w:type="spellEnd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F014FF">
        <w:rPr>
          <w:rFonts w:ascii="Times New Roman" w:eastAsiaTheme="minorHAnsi" w:hAnsi="Times New Roman" w:cstheme="minorBidi"/>
          <w:bCs/>
          <w:color w:val="1A1A23"/>
          <w:sz w:val="24"/>
          <w:szCs w:val="24"/>
          <w:lang w:eastAsia="en-US"/>
        </w:rPr>
        <w:t>Всероссийского съезда саморегулируемых организаций в строительстве, который  состоялся 12 апреля 2022 г.</w:t>
      </w: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</w:t>
      </w:r>
      <w:r w:rsidRPr="00F014FF">
        <w:rPr>
          <w:rFonts w:ascii="Times New Roman" w:eastAsiaTheme="minorHAnsi" w:hAnsi="Times New Roman" w:cstheme="minorBidi"/>
          <w:bCs/>
          <w:color w:val="1A1A23"/>
          <w:sz w:val="24"/>
          <w:szCs w:val="24"/>
          <w:lang w:eastAsia="en-US"/>
        </w:rPr>
        <w:t>на котором были рассмотрены вопросы :</w:t>
      </w:r>
      <w:r w:rsidRPr="00F014FF">
        <w:rPr>
          <w:rFonts w:ascii="Times New Roman" w:eastAsiaTheme="minorHAnsi" w:hAnsi="Times New Roman" w:cstheme="minorBidi"/>
          <w:color w:val="1A1A23"/>
          <w:sz w:val="24"/>
          <w:szCs w:val="24"/>
          <w:lang w:eastAsia="en-US"/>
        </w:rPr>
        <w:t xml:space="preserve">  утверждения  отчета о деятельности НОСТРОЙ за 2021 год, утверждению годовой бухгалтерской отчетности, сметы расходов и приоритетных направлений развития на 2023 г., </w:t>
      </w:r>
      <w:r w:rsidRPr="00F014FF">
        <w:rPr>
          <w:rFonts w:ascii="Times New Roman" w:hAnsi="Times New Roman" w:cstheme="minorBidi"/>
          <w:color w:val="22232F"/>
          <w:sz w:val="24"/>
          <w:szCs w:val="24"/>
        </w:rPr>
        <w:t>прекращении полномочия и избраны новые  члены Совета НОСТРОЙ, избраны новые члены Ревизионной комиссии НОСТРОЙ,  утверждена новая редакция  Устава НОСТРОЙ.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1A1A23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Так же, в 2022 году Союз принял участие в работе 4-х Окружных конференций по Южному федеральному округу, где были рассмотрены вопросы связанные подготовкой к Всероссийскому съездам с целью выработки консолидированной позиции  по вопросам, рассматриваемым в рамках их проведения, в том числе о рассмотрении отчета о деятельности НОСТРОЙ за 2021 год,  избрании представителей для работы  в рабочих органах съезда НОСТРОЙ, о выдаче займов из средств компенсационных фондов </w:t>
      </w:r>
      <w:r w:rsidRPr="00F014F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саморегулируемых организаций, о проведении этапов  Всероссийского конкурса «Строймастер» и независимой оценке квалификации специалистов. 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Союз участвовал в социально-значимых мероприятиях Краснодарского края, в том числе в работе ежегодной Международной выставки строительных и отделочных материалов, инженерного оборудования и архитектурных проектов </w:t>
      </w:r>
      <w:proofErr w:type="spell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YugBuild</w:t>
      </w:r>
      <w:proofErr w:type="spellEnd"/>
      <w:r w:rsidRPr="00F014FF">
        <w:rPr>
          <w:rFonts w:ascii="Times New Roman" w:eastAsia="Calibri" w:hAnsi="Times New Roman"/>
          <w:sz w:val="24"/>
          <w:szCs w:val="24"/>
          <w:lang w:eastAsia="en-US"/>
        </w:rPr>
        <w:t>/</w:t>
      </w:r>
      <w:proofErr w:type="spell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WorldBuild</w:t>
      </w:r>
      <w:proofErr w:type="spellEnd"/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Krasnodar, других форумах, выставках.</w:t>
      </w:r>
    </w:p>
    <w:p w:rsidR="00F014FF" w:rsidRPr="00F014FF" w:rsidRDefault="00F014FF" w:rsidP="00F014FF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Руководитель Союза за отчетный период принимал участие в работе Общественного совета при Департаменте строительства Краснодарского края,</w:t>
      </w: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Общественной палате Краснодарского края и 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комиссии по проведению предварительного отбора подрядных организаций для последующего участия в электронных торгах в сфере оказания услуг и (или) выполнения работ по капитальному ремонту общего имущества в многоквартирных домах на территории Краснодарского края. </w:t>
      </w:r>
    </w:p>
    <w:p w:rsidR="00F014FF" w:rsidRPr="00F014FF" w:rsidRDefault="00F014FF" w:rsidP="00F014FF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В рамках плана работы Общественным советом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при Департаменте строительства Краснодарского края были рассмотрены </w:t>
      </w:r>
      <w:proofErr w:type="gramStart"/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вопросы </w:t>
      </w: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:</w:t>
      </w:r>
      <w:proofErr w:type="gramEnd"/>
    </w:p>
    <w:p w:rsidR="00F014FF" w:rsidRPr="00F014FF" w:rsidRDefault="00F014FF" w:rsidP="00F014FF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- разработки предложений по проектам нормативно правовых актов департамента строительства Краснодарского края;</w:t>
      </w:r>
    </w:p>
    <w:p w:rsidR="00F014FF" w:rsidRPr="00F014FF" w:rsidRDefault="00F014FF" w:rsidP="00F014FF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- участия в работе конкурсной и аттестационной комиссии департамента строительства Краснодарского края;</w:t>
      </w:r>
    </w:p>
    <w:p w:rsidR="00F014FF" w:rsidRPr="00F014FF" w:rsidRDefault="00F014FF" w:rsidP="00F014FF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- подготовки предложений для Стратегии социально-экономического развития Краснодарского края до 2030 года в комплексе строительства и ЖКХ;</w:t>
      </w:r>
    </w:p>
    <w:p w:rsidR="00F014FF" w:rsidRPr="00F014FF" w:rsidRDefault="00F014FF" w:rsidP="00F014FF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- реализации регионального проекта «Жилье» национального проекта «Жилье и городская среда» на территории Краснодарского края;</w:t>
      </w:r>
    </w:p>
    <w:p w:rsidR="00F014FF" w:rsidRPr="00F014FF" w:rsidRDefault="00F014FF" w:rsidP="00F014FF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- взаимодействия с Общественным советом при Минстрой РФ;</w:t>
      </w:r>
    </w:p>
    <w:p w:rsidR="00F014FF" w:rsidRPr="00F014FF" w:rsidRDefault="00F014FF" w:rsidP="00F014FF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- разработки мер противодействия административным барьерам при получении разрешения на строительство;</w:t>
      </w:r>
    </w:p>
    <w:p w:rsidR="00F014FF" w:rsidRPr="00F014FF" w:rsidRDefault="00F014FF" w:rsidP="00F014FF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рекомендаций </w:t>
      </w:r>
      <w:proofErr w:type="gramStart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по  проведению</w:t>
      </w:r>
      <w:proofErr w:type="gramEnd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отраслевых краевых конкурсов по итогам деятельности организаций строительного комплекса за 2022 год;</w:t>
      </w:r>
    </w:p>
    <w:p w:rsidR="00F014FF" w:rsidRPr="00F014FF" w:rsidRDefault="00F014FF" w:rsidP="00F014FF">
      <w:pPr>
        <w:spacing w:after="0" w:line="259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- организации профессионального праздника «День строителя».</w:t>
      </w:r>
    </w:p>
    <w:p w:rsidR="00F014FF" w:rsidRPr="00F014FF" w:rsidRDefault="00F014FF" w:rsidP="00F014FF">
      <w:pPr>
        <w:spacing w:before="108" w:after="108" w:line="259" w:lineRule="auto"/>
        <w:ind w:firstLine="708"/>
        <w:contextualSpacing/>
        <w:jc w:val="both"/>
        <w:outlineLvl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В рамках работы экспертом при Общественной палате Краснодарского края рассматривались вопросы взаимодействия с органами исполнительной власти по основным мероприятиям, направленными на улучшение деловой и общественной активности в привлечении инвестиций, промышленности, строительной отрасли, поддержки малого и среднего предпринимательства; проведения экспертной оценки показателей целевых моделей упрощения процедур ведения бизнеса и повышения инвестиционной привлекательности; государственной поддержки в строительстве в деле поддержки малого и среднего предпринимательства.</w:t>
      </w:r>
    </w:p>
    <w:p w:rsidR="00F014FF" w:rsidRPr="00F014FF" w:rsidRDefault="00F014FF" w:rsidP="00F014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theme="minorBidi"/>
          <w:color w:val="2C2D2E"/>
          <w:sz w:val="24"/>
          <w:szCs w:val="24"/>
        </w:rPr>
      </w:pP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 рамках работы в </w:t>
      </w:r>
      <w:proofErr w:type="gramStart"/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членах  комиссии</w:t>
      </w:r>
      <w:proofErr w:type="gramEnd"/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по проведению предварительного отбора подрядных организаций для последующего участия в электронных торгах в сфере оказания услуг и (или) выполнения работ по капитальному ремонту общего имущества в многоквартирных домах на территории Краснодарского края было принято участие в 4 -х заседаний комиссии, где п</w:t>
      </w:r>
      <w:r w:rsidRPr="00F014FF">
        <w:rPr>
          <w:rFonts w:ascii="Times New Roman" w:hAnsi="Times New Roman" w:cstheme="minorBidi"/>
          <w:color w:val="000000"/>
          <w:sz w:val="24"/>
          <w:szCs w:val="24"/>
        </w:rPr>
        <w:t>о предварительным отборам было рассмотрено 173 заявки от организаций, из которых:</w:t>
      </w:r>
      <w:r w:rsidRPr="00F014FF">
        <w:rPr>
          <w:rFonts w:ascii="Times New Roman" w:hAnsi="Times New Roman" w:cstheme="minorBidi"/>
          <w:color w:val="2C2D2E"/>
          <w:sz w:val="24"/>
          <w:szCs w:val="24"/>
        </w:rPr>
        <w:t xml:space="preserve"> </w:t>
      </w:r>
      <w:r w:rsidRPr="00F014FF">
        <w:rPr>
          <w:rFonts w:ascii="Times New Roman" w:hAnsi="Times New Roman" w:cstheme="minorBidi"/>
          <w:color w:val="000000"/>
          <w:sz w:val="24"/>
          <w:szCs w:val="24"/>
        </w:rPr>
        <w:t>113 заявок одобрено комиссией, отклонено – 60 заявок.</w:t>
      </w:r>
    </w:p>
    <w:p w:rsidR="00F014FF" w:rsidRPr="00F014FF" w:rsidRDefault="00F014FF" w:rsidP="00F014FF">
      <w:pPr>
        <w:shd w:val="clear" w:color="auto" w:fill="FFFFFF"/>
        <w:spacing w:after="0" w:line="240" w:lineRule="auto"/>
        <w:jc w:val="both"/>
        <w:rPr>
          <w:rFonts w:ascii="Times New Roman" w:hAnsi="Times New Roman" w:cstheme="minorBidi"/>
          <w:color w:val="2C2D2E"/>
          <w:sz w:val="24"/>
          <w:szCs w:val="24"/>
        </w:rPr>
      </w:pPr>
      <w:r w:rsidRPr="00F014FF">
        <w:rPr>
          <w:rFonts w:ascii="Times New Roman" w:hAnsi="Times New Roman" w:cstheme="minorBidi"/>
          <w:color w:val="000000"/>
          <w:sz w:val="24"/>
          <w:szCs w:val="24"/>
        </w:rPr>
        <w:t xml:space="preserve">Основной причиной отклонения </w:t>
      </w:r>
      <w:proofErr w:type="gramStart"/>
      <w:r w:rsidRPr="00F014FF">
        <w:rPr>
          <w:rFonts w:ascii="Times New Roman" w:hAnsi="Times New Roman" w:cstheme="minorBidi"/>
          <w:color w:val="000000"/>
          <w:sz w:val="24"/>
          <w:szCs w:val="24"/>
        </w:rPr>
        <w:t>являлся  неполный</w:t>
      </w:r>
      <w:proofErr w:type="gramEnd"/>
      <w:r w:rsidRPr="00F014FF">
        <w:rPr>
          <w:rFonts w:ascii="Times New Roman" w:hAnsi="Times New Roman" w:cstheme="minorBidi"/>
          <w:color w:val="000000"/>
          <w:sz w:val="24"/>
          <w:szCs w:val="24"/>
        </w:rPr>
        <w:t xml:space="preserve"> комплект документов в соответствии с установленными требованиями</w:t>
      </w:r>
    </w:p>
    <w:p w:rsidR="00F014FF" w:rsidRPr="00F014FF" w:rsidRDefault="00F014FF" w:rsidP="00F014FF">
      <w:pPr>
        <w:spacing w:after="160" w:line="259" w:lineRule="auto"/>
        <w:ind w:firstLine="708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Союз за отчетный период участвовал в работе Научно-Консультативной Комиссии НОСТРОЙ, которая </w:t>
      </w:r>
      <w:r w:rsidRPr="00F014FF">
        <w:rPr>
          <w:rFonts w:ascii="Times New Roman" w:eastAsiaTheme="minorHAnsi" w:hAnsi="Times New Roman" w:cstheme="minorBidi"/>
          <w:color w:val="22232F"/>
          <w:sz w:val="24"/>
          <w:szCs w:val="24"/>
          <w:lang w:eastAsia="en-US"/>
        </w:rPr>
        <w:t xml:space="preserve"> является постоянно действующим консультативно-совещательным органом НОСТРОЙ по разработке рекомендаций по применению законодательства в области градостроительной деятельности и саморегулированию в строительстве, а так же в работе Комитета по страхованию, охране труда и финансовым инструментам строительного рынка,  рамках работы в которых были разработаны в том числе 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  <w:lang w:eastAsia="en-US"/>
        </w:rPr>
        <w:lastRenderedPageBreak/>
        <w:t>аналитические справки по вопросам применения положений Федерального закона от 01.05.2022 № 124-ФЗ «О внесении изменений в Градостроительный кодекс Российской Федерации и отдельные законодательные акты Российской Федерации», связанных с увеличением размера обязательств по договору строительного подряда, при котором подрядчик должен быть членом саморегулируемой организации в области строительства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; 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  <w:lang w:eastAsia="en-US"/>
        </w:rPr>
        <w:t>по антикризисных мер по поддержке строительной отрасли; процедуры перехода в саморегулируемую организацию, созданную в субъекте РФ, на территории которого ранее отсутствовала соответствующая саморегулируемая организация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; 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  <w:lang w:eastAsia="en-US"/>
        </w:rPr>
        <w:t>восполнения саморегулируемыми организациями компенсационных фондов в связи с размещением в российских кредитных организациях, у которых до 1 сентября 2017 года была отозвана лицензия на осуществление банковских операций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; 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  <w:lang w:eastAsia="en-US"/>
        </w:rPr>
        <w:t xml:space="preserve">предъявления требований банком к саморегулируемой организации о выплате из компенсационного фонда обеспечения договорных обязательств в случае осуществления выплаты по банковской гарантии в связи с неисполнением договора подряда членом саморегулируемой организации, а также в случае последующего предъявления требований страховщиком после выплаты страхового возмещения банку; исполнения требований Федерального закона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 в части независимой оценки квалификации»; определения даты, по состоянию на которую саморегулируемыми организациями должны отражаться сведения о фактическом совокупном размере обязательств членов саморегулируемых организаций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обязательствах», так же </w:t>
      </w: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подготовлены предложения в профильное министерство  </w:t>
      </w: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по внесению изменений в Градостроительный кодекс РФ в части специальных норм, предусматривающих юридическую конструкцию об ответственности СРО перед работниками генподрядных и подрядных организаций.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Союзом в отчетном году была оказана финансовая и информационная поддержка социальных мероприятий, направленных на поддержку строителей-ветеранов, проводимых   Фондом «Социальной поддержка ветеранов строителей Кубани» </w:t>
      </w:r>
      <w:proofErr w:type="gramStart"/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</w:rPr>
        <w:t>и  Профсоюзом</w:t>
      </w:r>
      <w:proofErr w:type="gramEnd"/>
      <w:r w:rsidRPr="00F014FF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строителей Краснодарского края.</w:t>
      </w:r>
    </w:p>
    <w:p w:rsidR="00F014FF" w:rsidRPr="00F014FF" w:rsidRDefault="00F014FF" w:rsidP="00F014FF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proofErr w:type="gramStart"/>
      <w:r w:rsidRPr="00F014FF">
        <w:rPr>
          <w:rFonts w:ascii="Times New Roman" w:eastAsiaTheme="minorHAnsi" w:hAnsi="Times New Roman" w:cstheme="minorBidi"/>
          <w:sz w:val="24"/>
          <w:szCs w:val="24"/>
        </w:rPr>
        <w:t>В  2022</w:t>
      </w:r>
      <w:proofErr w:type="gramEnd"/>
      <w:r w:rsidRPr="00F014FF">
        <w:rPr>
          <w:rFonts w:ascii="Times New Roman" w:eastAsiaTheme="minorHAnsi" w:hAnsi="Times New Roman" w:cstheme="minorBidi"/>
          <w:sz w:val="24"/>
          <w:szCs w:val="24"/>
        </w:rPr>
        <w:t xml:space="preserve"> году в рамках работы Союза по продвижению своих членов  Почетной грамотой  </w:t>
      </w: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Департамента строительства Краснодарского Края </w:t>
      </w:r>
      <w:r w:rsidRPr="00F014FF">
        <w:rPr>
          <w:rFonts w:ascii="Times New Roman" w:eastAsiaTheme="minorHAnsi" w:hAnsi="Times New Roman" w:cstheme="minorBidi"/>
          <w:bCs/>
          <w:sz w:val="24"/>
          <w:szCs w:val="24"/>
        </w:rPr>
        <w:t>за многолетний добросовестный труд и вклад в развитие строительного комплекса Краснодарского края</w:t>
      </w:r>
      <w:r w:rsidRPr="00F014FF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 </w:t>
      </w:r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были награждены: </w:t>
      </w:r>
      <w:proofErr w:type="spellStart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Атмачьян</w:t>
      </w:r>
      <w:proofErr w:type="spellEnd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spellStart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Вреж</w:t>
      </w:r>
      <w:proofErr w:type="spellEnd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spellStart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Врежевич</w:t>
      </w:r>
      <w:proofErr w:type="spellEnd"/>
      <w:r w:rsidRPr="00F014FF">
        <w:rPr>
          <w:rFonts w:ascii="Times New Roman" w:eastAsiaTheme="minorHAnsi" w:hAnsi="Times New Roman" w:cstheme="minorBidi"/>
          <w:sz w:val="24"/>
          <w:szCs w:val="24"/>
          <w:lang w:eastAsia="en-US"/>
        </w:rPr>
        <w:t>, директор ООО «Специализированный застройщик ЮСК «Каскад» (г.-к. Анапа);  ИП Любезная Людмила Николаевна (г.-к. Анапа)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1A1A23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color w:val="1A1A23"/>
          <w:sz w:val="24"/>
          <w:szCs w:val="24"/>
          <w:lang w:eastAsia="en-US"/>
        </w:rPr>
        <w:t>В рамках деятельности Союза в части соблюдения требований к страхованию за отчетный период сложилась следующая статистика: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1A1A23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color w:val="1A1A23"/>
          <w:sz w:val="24"/>
          <w:szCs w:val="24"/>
          <w:lang w:eastAsia="en-US"/>
        </w:rPr>
        <w:t>Количество заключенных договоров страхования: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риска гражданской ответственности, </w:t>
      </w:r>
      <w:proofErr w:type="gramStart"/>
      <w:r w:rsidRPr="00F014F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которая  может</w:t>
      </w:r>
      <w:proofErr w:type="gramEnd"/>
      <w:r w:rsidRPr="00F014F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наступить  в случае причинения вреда вследствие недостатков  работ, которые оказывают влияние на безопасность объектов капитального строительства -985;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color w:val="1A1A23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риска ответственности за </w:t>
      </w:r>
      <w:proofErr w:type="gramStart"/>
      <w:r w:rsidRPr="00F014F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нарушение  условий</w:t>
      </w:r>
      <w:proofErr w:type="gramEnd"/>
      <w:r w:rsidRPr="00F014F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договора строительного подряда </w:t>
      </w:r>
      <w:r w:rsidRPr="00F014FF">
        <w:rPr>
          <w:rFonts w:ascii="Times New Roman" w:eastAsia="Calibri" w:hAnsi="Times New Roman"/>
          <w:color w:val="1A1A23"/>
          <w:sz w:val="24"/>
          <w:szCs w:val="24"/>
          <w:lang w:eastAsia="en-US"/>
        </w:rPr>
        <w:t>- 5.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    Страховая сумма по всем договорам более 2, 5 млрд. рублей</w:t>
      </w:r>
    </w:p>
    <w:p w:rsidR="00F014FF" w:rsidRPr="00F014FF" w:rsidRDefault="00F014FF" w:rsidP="00F014F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>Средняя стоимость полиса на год для члена строительного СРО составила всего 6-8 тысяч рублей.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К членам Союза, допустившим за отчетный период нарушение требований страхования были применены меры дисциплинарного воздействия, вплоть до исключения из членов Союза.  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За отчетный период страховых </w:t>
      </w:r>
      <w:proofErr w:type="gram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случаев  на</w:t>
      </w:r>
      <w:proofErr w:type="gramEnd"/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строительных площадках членов Союза, - не было. 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С момента своего образования и по сегодняшний день Союз принял участие в урегулировании свыше 20 случаев с участием страховых организаций на сумму более 7,5 млн. руб., выплаты произведены в полном объеме. </w:t>
      </w:r>
    </w:p>
    <w:p w:rsidR="00F014FF" w:rsidRPr="00F014FF" w:rsidRDefault="00F014FF" w:rsidP="00F014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Выплат из компенсационного фонда Союза в счет возмещения вреда по ст. 60 </w:t>
      </w:r>
      <w:proofErr w:type="spell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РФ, в связи с </w:t>
      </w:r>
      <w:proofErr w:type="gramStart"/>
      <w:r w:rsidRPr="00F014FF">
        <w:rPr>
          <w:rFonts w:ascii="Times New Roman" w:eastAsia="Calibri" w:hAnsi="Times New Roman"/>
          <w:sz w:val="24"/>
          <w:szCs w:val="24"/>
          <w:lang w:eastAsia="en-US"/>
        </w:rPr>
        <w:t>покрытием  в</w:t>
      </w:r>
      <w:proofErr w:type="gramEnd"/>
      <w:r w:rsidRPr="00F014FF">
        <w:rPr>
          <w:rFonts w:ascii="Times New Roman" w:eastAsia="Calibri" w:hAnsi="Times New Roman"/>
          <w:sz w:val="24"/>
          <w:szCs w:val="24"/>
          <w:lang w:eastAsia="en-US"/>
        </w:rPr>
        <w:t xml:space="preserve"> полном объеме расходов страховыми организациями,- не производилось.</w:t>
      </w:r>
    </w:p>
    <w:p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817EEE" w:rsidRPr="00327F68" w:rsidSect="00327F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09" w:rsidRDefault="00730409" w:rsidP="00327F68">
      <w:pPr>
        <w:spacing w:after="0" w:line="240" w:lineRule="auto"/>
      </w:pPr>
      <w:r>
        <w:separator/>
      </w:r>
    </w:p>
  </w:endnote>
  <w:endnote w:type="continuationSeparator" w:id="0">
    <w:p w:rsidR="00730409" w:rsidRDefault="00730409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14FF">
      <w:rPr>
        <w:rStyle w:val="a7"/>
        <w:noProof/>
      </w:rPr>
      <w:t>7</w:t>
    </w:r>
    <w:r>
      <w:rPr>
        <w:rStyle w:val="a7"/>
      </w:rPr>
      <w:fldChar w:fldCharType="end"/>
    </w:r>
  </w:p>
  <w:p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09" w:rsidRDefault="00730409" w:rsidP="00327F68">
      <w:pPr>
        <w:spacing w:after="0" w:line="240" w:lineRule="auto"/>
      </w:pPr>
      <w:r>
        <w:separator/>
      </w:r>
    </w:p>
  </w:footnote>
  <w:footnote w:type="continuationSeparator" w:id="0">
    <w:p w:rsidR="00730409" w:rsidRDefault="00730409" w:rsidP="0032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54DC47C8"/>
    <w:multiLevelType w:val="hybridMultilevel"/>
    <w:tmpl w:val="09E059DC"/>
    <w:lvl w:ilvl="0" w:tplc="E21866D8">
      <w:start w:val="2"/>
      <w:numFmt w:val="bullet"/>
      <w:lvlText w:val="-"/>
      <w:lvlJc w:val="left"/>
      <w:pPr>
        <w:ind w:left="1347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B2E3D53"/>
    <w:multiLevelType w:val="hybridMultilevel"/>
    <w:tmpl w:val="A308E942"/>
    <w:lvl w:ilvl="0" w:tplc="CBD07BFA">
      <w:start w:val="6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508B8"/>
    <w:rsid w:val="00057B28"/>
    <w:rsid w:val="0006075F"/>
    <w:rsid w:val="00067B37"/>
    <w:rsid w:val="0012609A"/>
    <w:rsid w:val="001324AC"/>
    <w:rsid w:val="00135200"/>
    <w:rsid w:val="00155597"/>
    <w:rsid w:val="00203B62"/>
    <w:rsid w:val="002200CC"/>
    <w:rsid w:val="00221D4E"/>
    <w:rsid w:val="002534B0"/>
    <w:rsid w:val="00255239"/>
    <w:rsid w:val="00282828"/>
    <w:rsid w:val="00285410"/>
    <w:rsid w:val="002D0C7E"/>
    <w:rsid w:val="002D4F61"/>
    <w:rsid w:val="00317157"/>
    <w:rsid w:val="00327F68"/>
    <w:rsid w:val="003404D5"/>
    <w:rsid w:val="00341ABD"/>
    <w:rsid w:val="003E1D31"/>
    <w:rsid w:val="004226DC"/>
    <w:rsid w:val="0044498D"/>
    <w:rsid w:val="00494918"/>
    <w:rsid w:val="004A4010"/>
    <w:rsid w:val="0050100C"/>
    <w:rsid w:val="00544A21"/>
    <w:rsid w:val="005609FA"/>
    <w:rsid w:val="005E21BD"/>
    <w:rsid w:val="0063044B"/>
    <w:rsid w:val="0063139C"/>
    <w:rsid w:val="0064339A"/>
    <w:rsid w:val="00690B05"/>
    <w:rsid w:val="006B6F18"/>
    <w:rsid w:val="006B7EFC"/>
    <w:rsid w:val="006C3659"/>
    <w:rsid w:val="006C5E7D"/>
    <w:rsid w:val="007149D5"/>
    <w:rsid w:val="00730409"/>
    <w:rsid w:val="007C6A46"/>
    <w:rsid w:val="007D7D5C"/>
    <w:rsid w:val="00817EEE"/>
    <w:rsid w:val="008713EC"/>
    <w:rsid w:val="008B68A3"/>
    <w:rsid w:val="00910C89"/>
    <w:rsid w:val="00913CD1"/>
    <w:rsid w:val="00941B95"/>
    <w:rsid w:val="009A6B5B"/>
    <w:rsid w:val="009B4AB5"/>
    <w:rsid w:val="009F2A46"/>
    <w:rsid w:val="00A15882"/>
    <w:rsid w:val="00A3526F"/>
    <w:rsid w:val="00AA4805"/>
    <w:rsid w:val="00AB707A"/>
    <w:rsid w:val="00AD2B88"/>
    <w:rsid w:val="00B22E4D"/>
    <w:rsid w:val="00B26F2C"/>
    <w:rsid w:val="00B5625C"/>
    <w:rsid w:val="00B71750"/>
    <w:rsid w:val="00BD0347"/>
    <w:rsid w:val="00BF1C0F"/>
    <w:rsid w:val="00C32737"/>
    <w:rsid w:val="00C46950"/>
    <w:rsid w:val="00C57982"/>
    <w:rsid w:val="00C841EB"/>
    <w:rsid w:val="00C951AF"/>
    <w:rsid w:val="00CD32C9"/>
    <w:rsid w:val="00D40AF4"/>
    <w:rsid w:val="00D53E5D"/>
    <w:rsid w:val="00D87BE8"/>
    <w:rsid w:val="00D97050"/>
    <w:rsid w:val="00DB3980"/>
    <w:rsid w:val="00DD1888"/>
    <w:rsid w:val="00DD1C1C"/>
    <w:rsid w:val="00DE6E6C"/>
    <w:rsid w:val="00E151E2"/>
    <w:rsid w:val="00E41CC4"/>
    <w:rsid w:val="00E553D0"/>
    <w:rsid w:val="00E65305"/>
    <w:rsid w:val="00E66C8D"/>
    <w:rsid w:val="00E73974"/>
    <w:rsid w:val="00ED45FA"/>
    <w:rsid w:val="00EE4CEC"/>
    <w:rsid w:val="00F014FF"/>
    <w:rsid w:val="00F11077"/>
    <w:rsid w:val="00F67258"/>
    <w:rsid w:val="00FA773C"/>
    <w:rsid w:val="00FB3487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A5190-7BBD-4718-BB5C-1793087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  <w:style w:type="character" w:customStyle="1" w:styleId="2">
    <w:name w:val="Средняя сетка 2 Знак"/>
    <w:link w:val="20"/>
    <w:rsid w:val="006B6F18"/>
    <w:rPr>
      <w:rFonts w:eastAsia="Times New Roman"/>
      <w:sz w:val="24"/>
      <w:szCs w:val="32"/>
      <w:lang w:val="en-US" w:eastAsia="en-US" w:bidi="en-US"/>
    </w:rPr>
  </w:style>
  <w:style w:type="table" w:styleId="20">
    <w:name w:val="Medium Grid 2"/>
    <w:basedOn w:val="a1"/>
    <w:link w:val="2"/>
    <w:semiHidden/>
    <w:unhideWhenUsed/>
    <w:rsid w:val="006B6F18"/>
    <w:pPr>
      <w:spacing w:after="0" w:line="240" w:lineRule="auto"/>
    </w:pPr>
    <w:rPr>
      <w:rFonts w:eastAsia="Times New Roman"/>
      <w:sz w:val="24"/>
      <w:szCs w:val="32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21">
    <w:name w:val="Средняя сетка 21"/>
    <w:basedOn w:val="a"/>
    <w:uiPriority w:val="1"/>
    <w:qFormat/>
    <w:rsid w:val="00F11077"/>
    <w:pPr>
      <w:spacing w:after="0" w:line="240" w:lineRule="auto"/>
    </w:pPr>
    <w:rPr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EC80-EFC9-4BAA-9C42-22DBEE5F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2</cp:revision>
  <cp:lastPrinted>2024-07-16T09:04:00Z</cp:lastPrinted>
  <dcterms:created xsi:type="dcterms:W3CDTF">2024-07-16T09:05:00Z</dcterms:created>
  <dcterms:modified xsi:type="dcterms:W3CDTF">2024-07-16T09:05:00Z</dcterms:modified>
</cp:coreProperties>
</file>